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D" w:rsidRPr="00331F99" w:rsidRDefault="00A45BBD" w:rsidP="00A45BB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 w:rsidRPr="00331F99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A45BBD" w:rsidRPr="00331F99" w:rsidRDefault="00A45BBD" w:rsidP="00A45BB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color w:val="9B00D3"/>
          <w:sz w:val="24"/>
          <w:szCs w:val="24"/>
          <w:u w:val="single"/>
        </w:rPr>
      </w:pPr>
    </w:p>
    <w:tbl>
      <w:tblPr>
        <w:tblW w:w="5000" w:type="pct"/>
        <w:tblLook w:val="04A0"/>
      </w:tblPr>
      <w:tblGrid>
        <w:gridCol w:w="4238"/>
        <w:gridCol w:w="5333"/>
      </w:tblGrid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</w:rPr>
              <w:t>Фізіолого-біохімічні особливості мікроорганізмів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 10, 18, 20, 22, 26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мікробіології, вірусології та біотехнології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2 курс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фізіолого-біохімічні властивості різних видів мікроорганізмів, особливості росту і розвитку бактеріальних популяцій, процеси живлення та обміну речовин у мікроорганізмів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різноманітних шляхів метаболізму різних груп мікроорганізмів дозволяють оцінювати їх роль та можливості використання у народному господарстві та медицині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sz w:val="24"/>
                <w:szCs w:val="24"/>
              </w:rPr>
              <w:t>розробляти засоби раціонального використання біохімічної активності мікроорганізмів як продуцентів практично цінних продуктів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використання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набутих фундаментальних знань та практичних умінь для підвищення родючості ґрунтів, поновлення енергетичних ресурсів та очищення довкілля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навчальні посібники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5BB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BBD" w:rsidRPr="00331F99" w:rsidRDefault="00A45BB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45BBD"/>
    <w:rsid w:val="000C5E83"/>
    <w:rsid w:val="00A4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BBD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Hostell5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2020-09-30T11:04:00Z</dcterms:created>
  <dcterms:modified xsi:type="dcterms:W3CDTF">2020-09-30T11:04:00Z</dcterms:modified>
</cp:coreProperties>
</file>