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69" w:rsidRDefault="004C58F8">
      <w:pPr>
        <w:pStyle w:val="a3"/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uk-UA" w:eastAsia="uk-UA"/>
        </w:rPr>
        <w:t>ДНІПРОВСЬКИЙ НАЦІОНАЛЬНИЙ УНІВЕРСИТЕТ ІМЕНІ ОЛЕСЯ ГОНЧАРА</w:t>
      </w:r>
    </w:p>
    <w:p w:rsidR="00227069" w:rsidRDefault="00227069">
      <w:pPr>
        <w:pStyle w:val="Standard"/>
        <w:spacing w:after="0" w:line="240" w:lineRule="auto"/>
        <w:jc w:val="center"/>
      </w:pPr>
    </w:p>
    <w:p w:rsidR="00227069" w:rsidRDefault="004C58F8">
      <w:pPr>
        <w:pStyle w:val="a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ОБҐРУНТУВАННЯ</w:t>
      </w:r>
    </w:p>
    <w:p w:rsidR="00227069" w:rsidRDefault="004C58F8">
      <w:pPr>
        <w:pStyle w:val="a9"/>
        <w:jc w:val="center"/>
      </w:pPr>
      <w:r>
        <w:rPr>
          <w:rStyle w:val="a4"/>
          <w:rFonts w:ascii="Times New Roman" w:hAnsi="Times New Roman"/>
          <w:b/>
          <w:bCs/>
        </w:rPr>
        <w:t xml:space="preserve">технічних та якісних характеристик закупівлі, розміру бюджетного призначення, очікуваної вартості предмета закупівлі: </w:t>
      </w:r>
      <w:r w:rsidR="005B6A59" w:rsidRPr="005B6A59">
        <w:rPr>
          <w:rFonts w:ascii="Times New Roman" w:hAnsi="Times New Roman"/>
          <w:b/>
          <w:bCs/>
        </w:rPr>
        <w:t>Комп’ютерна аудиторія на 15 здобувачів вищої освіти+1 робоче місце викладача (моноблоки)</w:t>
      </w:r>
    </w:p>
    <w:p w:rsidR="00227069" w:rsidRDefault="004C58F8">
      <w:pPr>
        <w:pStyle w:val="a9"/>
        <w:jc w:val="center"/>
      </w:pPr>
      <w:r>
        <w:rPr>
          <w:rStyle w:val="a4"/>
          <w:rFonts w:ascii="Times New Roman" w:hAnsi="Times New Roman"/>
          <w:b/>
          <w:bCs/>
        </w:rPr>
        <w:t xml:space="preserve"> </w:t>
      </w:r>
      <w:r>
        <w:rPr>
          <w:rStyle w:val="aa"/>
          <w:rFonts w:ascii="Times New Roman" w:hAnsi="Times New Roman"/>
          <w:bCs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:rsidR="00227069" w:rsidRDefault="00227069">
      <w:pPr>
        <w:pStyle w:val="a9"/>
        <w:jc w:val="center"/>
      </w:pPr>
    </w:p>
    <w:p w:rsidR="00227069" w:rsidRDefault="004C58F8">
      <w:pPr>
        <w:pStyle w:val="rvps2"/>
        <w:shd w:val="clear" w:color="auto" w:fill="FFFFFF"/>
        <w:spacing w:before="0"/>
        <w:jc w:val="both"/>
      </w:pPr>
      <w:r>
        <w:rPr>
          <w:rStyle w:val="aa"/>
          <w:b/>
          <w:bCs/>
          <w:i w:val="0"/>
          <w:sz w:val="22"/>
          <w:szCs w:val="22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27069" w:rsidRDefault="004C58F8">
      <w:pPr>
        <w:pStyle w:val="rvps2"/>
        <w:shd w:val="clear" w:color="auto" w:fill="FFFFFF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найменування замовника: ДНІПРОВСЬКИЙ НАЦІОНАЛЬНИЙ УНІВЕРСИТЕТ ІМЕНІ ОЛЕСЯ ГОНЧАРА</w:t>
      </w:r>
    </w:p>
    <w:p w:rsidR="00227069" w:rsidRDefault="004C58F8">
      <w:pPr>
        <w:pStyle w:val="Standard"/>
        <w:shd w:val="clear" w:color="auto" w:fill="FFFFFF"/>
        <w:spacing w:before="60" w:after="0" w:line="240" w:lineRule="auto"/>
        <w:jc w:val="both"/>
      </w:pPr>
      <w:r>
        <w:rPr>
          <w:rStyle w:val="a4"/>
          <w:rFonts w:ascii="Times New Roman" w:eastAsia="Times New Roman" w:hAnsi="Times New Roman"/>
          <w:lang w:eastAsia="uk-UA"/>
        </w:rPr>
        <w:t>місцезнаходження  замовника: Україна, 49045, Дніпропетровська область, місто Дніпро, пр. Науки, буд. 72</w:t>
      </w:r>
    </w:p>
    <w:p w:rsidR="00227069" w:rsidRDefault="004C58F8">
      <w:pPr>
        <w:pStyle w:val="Standard"/>
        <w:shd w:val="clear" w:color="auto" w:fill="FFFFFF"/>
        <w:spacing w:before="60" w:after="0" w:line="240" w:lineRule="auto"/>
        <w:jc w:val="both"/>
      </w:pPr>
      <w:r>
        <w:rPr>
          <w:rStyle w:val="a4"/>
          <w:rFonts w:ascii="Times New Roman" w:eastAsia="Times New Roman" w:hAnsi="Times New Roman"/>
          <w:lang w:eastAsia="uk-UA"/>
        </w:rPr>
        <w:t xml:space="preserve">ідентифікаційний код замовника: </w:t>
      </w:r>
      <w:r>
        <w:rPr>
          <w:rStyle w:val="a4"/>
          <w:rFonts w:ascii="Times New Roman" w:eastAsia="Times New Roman" w:hAnsi="Times New Roman"/>
          <w:lang w:val="ru-RU" w:eastAsia="uk-UA"/>
        </w:rPr>
        <w:t>02066747</w:t>
      </w:r>
    </w:p>
    <w:p w:rsidR="00227069" w:rsidRDefault="004C58F8">
      <w:pPr>
        <w:pStyle w:val="Standard"/>
        <w:shd w:val="clear" w:color="auto" w:fill="FFFFFF"/>
        <w:spacing w:before="60" w:after="0" w:line="240" w:lineRule="auto"/>
        <w:jc w:val="both"/>
      </w:pPr>
      <w:r>
        <w:rPr>
          <w:rStyle w:val="a4"/>
          <w:rFonts w:ascii="Times New Roman" w:eastAsia="Times New Roman" w:hAnsi="Times New Roman"/>
          <w:lang w:eastAsia="uk-UA"/>
        </w:rPr>
        <w:t>категорія</w:t>
      </w:r>
      <w:bookmarkStart w:id="0" w:name="n181"/>
      <w:bookmarkEnd w:id="0"/>
      <w:r>
        <w:rPr>
          <w:rStyle w:val="a4"/>
          <w:rFonts w:ascii="Times New Roman" w:eastAsia="Times New Roman" w:hAnsi="Times New Roman"/>
          <w:lang w:eastAsia="uk-UA"/>
        </w:rPr>
        <w:t xml:space="preserve"> замовника: Юридична особа, яка забезпечує потреби держави або територіальної громади</w:t>
      </w:r>
    </w:p>
    <w:p w:rsidR="00227069" w:rsidRDefault="004C58F8">
      <w:pPr>
        <w:pStyle w:val="Standard"/>
        <w:spacing w:before="100" w:after="0" w:line="240" w:lineRule="auto"/>
        <w:jc w:val="both"/>
      </w:pPr>
      <w:r>
        <w:rPr>
          <w:rStyle w:val="a4"/>
          <w:rFonts w:ascii="Times New Roman" w:eastAsia="Times New Roman" w:hAnsi="Times New Roman"/>
          <w:b/>
          <w:bCs/>
          <w:iCs/>
          <w:color w:val="000000"/>
        </w:rPr>
        <w:t xml:space="preserve">Назва предмета закупівлі </w:t>
      </w:r>
      <w:r>
        <w:rPr>
          <w:rStyle w:val="a4"/>
          <w:rFonts w:ascii="Times New Roman" w:eastAsia="Times New Roman" w:hAnsi="Times New Roman"/>
          <w:b/>
          <w:color w:val="00000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Style w:val="a4"/>
          <w:rFonts w:ascii="Times New Roman" w:hAnsi="Times New Roman"/>
        </w:rPr>
        <w:t xml:space="preserve"> </w:t>
      </w:r>
      <w:r w:rsidR="005B6A59" w:rsidRPr="005B6A59">
        <w:rPr>
          <w:rFonts w:ascii="Times New Roman" w:hAnsi="Times New Roman"/>
        </w:rPr>
        <w:t>Комп’ютерна аудиторія на 15 здобувачів вищої освіти+1 робоче місце викладача (моноблоки)</w:t>
      </w:r>
      <w:r>
        <w:rPr>
          <w:rStyle w:val="a4"/>
          <w:rFonts w:ascii="Times New Roman" w:hAnsi="Times New Roman"/>
        </w:rPr>
        <w:t xml:space="preserve">, за кодом ДК 021:2015 – </w:t>
      </w:r>
      <w:r>
        <w:rPr>
          <w:rFonts w:ascii="Times New Roman" w:hAnsi="Times New Roman"/>
          <w:lang w:val="ru-RU"/>
        </w:rPr>
        <w:t>30210000-4: Машини для обробки даних (апаратна частина)</w:t>
      </w:r>
      <w:r>
        <w:rPr>
          <w:rStyle w:val="a4"/>
          <w:rFonts w:ascii="Times New Roman" w:hAnsi="Times New Roman"/>
        </w:rPr>
        <w:t>.</w:t>
      </w:r>
    </w:p>
    <w:p w:rsidR="00227069" w:rsidRDefault="004C58F8">
      <w:pPr>
        <w:pStyle w:val="Standard"/>
        <w:spacing w:before="100" w:after="28" w:line="240" w:lineRule="auto"/>
        <w:jc w:val="both"/>
      </w:pPr>
      <w:r>
        <w:rPr>
          <w:rStyle w:val="a4"/>
          <w:rFonts w:ascii="Times New Roman" w:hAnsi="Times New Roman"/>
          <w:b/>
        </w:rPr>
        <w:t>Вид та ідентифікатор процедури закупівлі</w:t>
      </w:r>
      <w:r>
        <w:rPr>
          <w:rStyle w:val="a4"/>
          <w:rFonts w:ascii="Times New Roman" w:hAnsi="Times New Roman"/>
          <w:b/>
          <w:bCs/>
        </w:rPr>
        <w:t>:</w:t>
      </w:r>
      <w:r>
        <w:rPr>
          <w:rStyle w:val="a4"/>
          <w:rFonts w:ascii="Times New Roman" w:hAnsi="Times New Roman"/>
        </w:rPr>
        <w:t xml:space="preserve"> Відкриті торги з особливостями, </w:t>
      </w:r>
      <w:r w:rsidR="00597E93" w:rsidRPr="00597E93">
        <w:rPr>
          <w:rStyle w:val="a4"/>
          <w:rFonts w:ascii="Times New Roman" w:hAnsi="Times New Roman"/>
        </w:rPr>
        <w:t>UA-2024-11-05-010788-a</w:t>
      </w:r>
    </w:p>
    <w:p w:rsidR="00227069" w:rsidRDefault="004C58F8">
      <w:pPr>
        <w:pStyle w:val="Standard"/>
        <w:spacing w:before="100" w:after="28" w:line="240" w:lineRule="auto"/>
        <w:jc w:val="both"/>
      </w:pPr>
      <w:r>
        <w:rPr>
          <w:rStyle w:val="a4"/>
          <w:rFonts w:ascii="Times New Roman" w:hAnsi="Times New Roman"/>
          <w:b/>
        </w:rPr>
        <w:t>Кількість закупівлі:</w:t>
      </w:r>
      <w:r>
        <w:rPr>
          <w:rStyle w:val="a4"/>
          <w:rFonts w:ascii="Times New Roman" w:hAnsi="Times New Roman"/>
          <w:bCs/>
        </w:rPr>
        <w:t xml:space="preserve"> 1</w:t>
      </w:r>
      <w:r w:rsidR="005B6A59">
        <w:rPr>
          <w:rStyle w:val="a4"/>
          <w:rFonts w:ascii="Times New Roman" w:hAnsi="Times New Roman"/>
          <w:bCs/>
        </w:rPr>
        <w:t>6 штук</w:t>
      </w:r>
    </w:p>
    <w:p w:rsidR="00227069" w:rsidRDefault="004C58F8">
      <w:pPr>
        <w:pStyle w:val="Standard"/>
        <w:spacing w:before="100" w:after="28" w:line="240" w:lineRule="auto"/>
        <w:jc w:val="both"/>
      </w:pPr>
      <w:r>
        <w:rPr>
          <w:rStyle w:val="a4"/>
          <w:rFonts w:ascii="Times New Roman" w:hAnsi="Times New Roman"/>
          <w:b/>
          <w:bCs/>
        </w:rPr>
        <w:t>Очікувана вартість:</w:t>
      </w:r>
      <w:r>
        <w:rPr>
          <w:rStyle w:val="a4"/>
          <w:rFonts w:ascii="Times New Roman" w:hAnsi="Times New Roman"/>
        </w:rPr>
        <w:t xml:space="preserve">  </w:t>
      </w:r>
      <w:r w:rsidR="005B6A59" w:rsidRPr="005B6A59">
        <w:rPr>
          <w:rFonts w:ascii="Times New Roman" w:hAnsi="Times New Roman"/>
        </w:rPr>
        <w:t xml:space="preserve">330 887,34 </w:t>
      </w:r>
      <w:r>
        <w:rPr>
          <w:rStyle w:val="a4"/>
          <w:rFonts w:ascii="Times New Roman" w:hAnsi="Times New Roman"/>
        </w:rPr>
        <w:t>грн без ПДВ</w:t>
      </w:r>
    </w:p>
    <w:p w:rsidR="00227069" w:rsidRDefault="004C58F8">
      <w:pPr>
        <w:pStyle w:val="Standard"/>
        <w:spacing w:before="100" w:after="28" w:line="240" w:lineRule="auto"/>
        <w:jc w:val="both"/>
      </w:pPr>
      <w:r>
        <w:rPr>
          <w:rStyle w:val="a4"/>
          <w:rFonts w:ascii="Times New Roman" w:hAnsi="Times New Roman"/>
          <w:b/>
        </w:rPr>
        <w:t>Обґрунтування очікуваної вартості предмета закупівлі</w:t>
      </w:r>
      <w:r>
        <w:rPr>
          <w:rStyle w:val="a4"/>
          <w:rFonts w:ascii="Times New Roman" w:hAnsi="Times New Roman"/>
          <w:b/>
          <w:bCs/>
        </w:rPr>
        <w:t>:</w:t>
      </w:r>
      <w:r>
        <w:rPr>
          <w:rStyle w:val="a4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Закупівля здійснюється в рамках реалізації проекту (програми) «Модернізація університетських освітніх програм з іноземних мов на основі інтеграції з інформаційними технологіями (Реєстраційна картка проекту (програми) №</w:t>
      </w:r>
      <w:r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</w:rPr>
        <w:t>5635, державна реєстрація від 20.08.2024, що фінансується Європейським Союзом згідно Рамкової Угоди між Урядом України та Комісією Європейських Співтовариств від 12.12.2006 (ратифікована від 03.09.2008; Підстава Закон України від 03.09.2008 №</w:t>
      </w:r>
      <w:r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</w:rPr>
        <w:t>360-</w:t>
      </w:r>
      <w:r>
        <w:rPr>
          <w:rFonts w:ascii="Times New Roman" w:hAnsi="Times New Roman"/>
          <w:lang w:val="ru-RU"/>
        </w:rPr>
        <w:t>VI</w:t>
      </w:r>
      <w:r>
        <w:rPr>
          <w:rFonts w:ascii="Times New Roman" w:hAnsi="Times New Roman"/>
        </w:rPr>
        <w:t>), Програма Еразмус+, напрям КА 2: Розвиток потенціалу вищої освіти. Розрахунки будуть здійснюватися за кошти Європейського Союзу в рамках проекту «Модернізація університетських освітніх програм з іноземних мов на основі інтеграції з інформаційними технологіями».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 xml:space="preserve">Згідно зі статтею 3 Рамкової Угоди між Урядом України та Комісією Європейських Співтовариств «Заходи, що фінансуються в цілому або частково коштом Співтовариства, не обкладаються податками, митними зборами, або іншими стягненнями аналогічного характеру». Право Замовника на пільгу – Постанова КМУ від 15.02.2002р. № 153 «Про створення єдиної системи залучення, використання та моніторингу міжнародної технічної допомоги» та Податкового кодексу України (п. 197.11 ст. 197). </w:t>
      </w:r>
    </w:p>
    <w:p w:rsidR="00227069" w:rsidRDefault="004C58F8">
      <w:pPr>
        <w:pStyle w:val="Standard"/>
        <w:spacing w:before="100" w:after="0" w:line="240" w:lineRule="auto"/>
        <w:jc w:val="both"/>
      </w:pPr>
      <w:r>
        <w:rPr>
          <w:rStyle w:val="a4"/>
          <w:rFonts w:ascii="Times New Roman" w:eastAsia="Times New Roman" w:hAnsi="Times New Roman"/>
          <w:b/>
          <w:bCs/>
          <w:lang w:eastAsia="uk-UA"/>
        </w:rPr>
        <w:t xml:space="preserve">Обґрунтування розміру бюджетного призначення: </w:t>
      </w:r>
      <w:r>
        <w:rPr>
          <w:rFonts w:ascii="Times New Roman" w:hAnsi="Times New Roman"/>
        </w:rPr>
        <w:t>Розрахунки будуть здійснюватися за кошти Європейського Союзу в рамках проекту «Модернізація університетських освітніх програм з іноземних мов на основі інтеграції з інформаційними технологіями».</w:t>
      </w:r>
    </w:p>
    <w:p w:rsidR="00227069" w:rsidRDefault="005B6A59" w:rsidP="00597E93">
      <w:pPr>
        <w:pStyle w:val="Standard"/>
        <w:spacing w:after="0" w:line="240" w:lineRule="auto"/>
        <w:jc w:val="both"/>
      </w:pPr>
      <w:r>
        <w:rPr>
          <w:rStyle w:val="a4"/>
          <w:rFonts w:ascii="Times New Roman" w:eastAsia="Times New Roman" w:hAnsi="Times New Roman"/>
          <w:lang w:eastAsia="uk-UA"/>
        </w:rPr>
        <w:t>04</w:t>
      </w:r>
      <w:r w:rsidR="004C58F8">
        <w:rPr>
          <w:rStyle w:val="a4"/>
          <w:rFonts w:ascii="Times New Roman" w:eastAsia="Times New Roman" w:hAnsi="Times New Roman"/>
          <w:lang w:val="ru-RU" w:eastAsia="uk-UA"/>
        </w:rPr>
        <w:t>.1</w:t>
      </w:r>
      <w:r>
        <w:rPr>
          <w:rStyle w:val="a4"/>
          <w:rFonts w:ascii="Times New Roman" w:eastAsia="Times New Roman" w:hAnsi="Times New Roman"/>
          <w:lang w:val="ru-RU" w:eastAsia="uk-UA"/>
        </w:rPr>
        <w:t>1</w:t>
      </w:r>
      <w:r w:rsidR="004C58F8">
        <w:rPr>
          <w:rStyle w:val="a4"/>
          <w:rFonts w:ascii="Times New Roman" w:eastAsia="Times New Roman" w:hAnsi="Times New Roman"/>
          <w:lang w:val="ru-RU" w:eastAsia="uk-UA"/>
        </w:rPr>
        <w:t>.2024</w:t>
      </w:r>
      <w:r w:rsidR="004C58F8">
        <w:rPr>
          <w:rStyle w:val="a4"/>
          <w:rFonts w:ascii="Times New Roman" w:eastAsia="Times New Roman" w:hAnsi="Times New Roman"/>
          <w:lang w:eastAsia="uk-UA"/>
        </w:rPr>
        <w:t xml:space="preserve"> було прийнято рішення провести закупівлю </w:t>
      </w:r>
      <w:r w:rsidR="004C58F8">
        <w:rPr>
          <w:rStyle w:val="a4"/>
          <w:rFonts w:ascii="Times New Roman" w:eastAsia="Times New Roman" w:hAnsi="Times New Roman"/>
          <w:lang w:val="ru-RU" w:eastAsia="uk-UA"/>
        </w:rPr>
        <w:t>товару</w:t>
      </w:r>
      <w:r w:rsidR="004C58F8">
        <w:rPr>
          <w:rStyle w:val="a4"/>
          <w:rFonts w:ascii="Times New Roman" w:eastAsia="Times New Roman" w:hAnsi="Times New Roman"/>
          <w:lang w:eastAsia="uk-UA"/>
        </w:rPr>
        <w:t xml:space="preserve"> із застосуванням електронної системи закупівель за процедурою «відкриті торги», визначеною Законом України «Про публічні закупівлі» з урахуванням вимог постанови Кабінету Міністрів України від 12 жовтня 2022 року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</w:t>
      </w:r>
      <w:r>
        <w:rPr>
          <w:rStyle w:val="a4"/>
          <w:rFonts w:ascii="Times New Roman" w:eastAsia="Times New Roman" w:hAnsi="Times New Roman"/>
          <w:lang w:eastAsia="uk-UA"/>
        </w:rPr>
        <w:t>о припинення або скасування». 05</w:t>
      </w:r>
      <w:r w:rsidR="004C58F8">
        <w:rPr>
          <w:rStyle w:val="a4"/>
          <w:rFonts w:ascii="Times New Roman" w:eastAsia="Times New Roman" w:hAnsi="Times New Roman"/>
          <w:lang w:eastAsia="uk-UA"/>
        </w:rPr>
        <w:t>.1</w:t>
      </w:r>
      <w:r>
        <w:rPr>
          <w:rStyle w:val="a4"/>
          <w:rFonts w:ascii="Times New Roman" w:eastAsia="Times New Roman" w:hAnsi="Times New Roman"/>
          <w:lang w:eastAsia="uk-UA"/>
        </w:rPr>
        <w:t>1</w:t>
      </w:r>
      <w:r w:rsidR="004C58F8">
        <w:rPr>
          <w:rStyle w:val="a4"/>
          <w:rFonts w:ascii="Times New Roman" w:eastAsia="Times New Roman" w:hAnsi="Times New Roman"/>
          <w:lang w:eastAsia="uk-UA"/>
        </w:rPr>
        <w:t>.2024 на майданчику було оприлюднено оголошення про проведення процедури закупівлі.</w:t>
      </w:r>
    </w:p>
    <w:p w:rsidR="00597E93" w:rsidRPr="00597E93" w:rsidRDefault="004C58F8" w:rsidP="00597E93">
      <w:pPr>
        <w:pStyle w:val="a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</w:pPr>
      <w:r>
        <w:rPr>
          <w:rStyle w:val="a4"/>
          <w:rFonts w:ascii="Times New Roman" w:hAnsi="Times New Roman"/>
          <w:b/>
          <w:lang w:val="uk-UA"/>
        </w:rPr>
        <w:t>Обґрунтування технічних та якісних характеристик предмета закупівлі:</w:t>
      </w:r>
      <w:r>
        <w:rPr>
          <w:rStyle w:val="a4"/>
          <w:rFonts w:ascii="Times New Roman" w:hAnsi="Times New Roman"/>
          <w:lang w:val="uk-UA"/>
        </w:rPr>
        <w:t xml:space="preserve"> Замовник прийняв рішення стосовно застосування таких технічних та якісних характеристик предмета закупівлі: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Тип</w:t>
      </w:r>
      <w:r w:rsid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Системний блок; Процесор повинен мати: тип роз’єму: AM4, модель: не гірше ніж AMD Ryzen 3 4300G; кількість ядер: не менше ніж 4; кількість потоків: не менше ніж 8 тактову частоту, ГГц: не нижче ніж 3.80 (базова) та не нижче ніж 4.00 (максимальна); об’єм кеш-пам’яті МБ: не менший ніж 4; Оперативна пам’ять повинна мати: об’єм, ГБ: не менше ніж 8, тип: не гірше ніж DDR4, тактову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lastRenderedPageBreak/>
        <w:t>частоту, МГц: не нижче ніж 3200, Накопичувач SSD: Накопичувач даних повинен включати: не менше ніж 1 x SSD накопичувач, тип: внутрішній форм-фактор: М.2 об’єм, ГБ: не менше ніж 500, Графічний адаптер Інтегрований графічний адаптер: не гірше ніж Radeon™ Vega 6, Діагональ екрану: 23.8", Роздільна здатність екрану: FullHD 1920x1080p, Тип матриці: IPS, Зовнішні інтерфейси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ab/>
        <w:t>Порти вводу\виводу (материнська плата, не менше, без застосування зовнішніх перехідників та розгалуджувачів): 1 порт DVI-D, 1 порт D-Sub, 1 порт HDMI, 1 порт RJ-45, 4 порти USB 3.2 Gen 1 Type-A, 2 порти USB 2.0 Type-A; 3 Аудіо порти на задній панелі; Передні порти вводу\виводу (на корпусі): 1 порт USB 2.0 Type-A, 1 порт USB 3.0 Type-A, 1 порт USB 3.0 Type-C, 1 порт SD card reader. Потужність блоку живлення: не менше 200 Вт, Гарантія не менше 36 місяців від виробника, Клавіатура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ab/>
        <w:t>Стандартна містить не менше ніж 104 клавіши, з окремим блоком клавіш для набору цифр; латинсько-кирилична, з нанесеними літерами латиниці та української абеток; тип інтерфейсу – USB; довжина інтерфейсного кабелю – не менше ніж 1,5 м. Маніпулятор «миша»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ab/>
        <w:t>Стандартна, технологія – оптична; тип  підключення – USB – інтерфейс; кількість кнопок – щонайменше 2: ліва, права, колесо-прокрутка для скролінгу; інтерфейсного кабелю – не менше ніж 1,5 м.</w:t>
      </w:r>
      <w:r w:rsid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Документальне підтвердження відповідності товару технічним, якісним та кількісним характеристиками має бути надане у складі тендерної пропозиції, у вигляді заповненої порівняльної таблиці.</w:t>
      </w:r>
      <w:r w:rsid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</w:rPr>
        <w:t>У разі надання Учасником пропозиції з еквівалентним товаром, технічні, якісні та кількісні характеристики запропонованого товару повинні бути не гіршими від характеристик предмета закупівлі, зазначених у Технічній специфікації.</w:t>
      </w:r>
      <w:r w:rsidR="00597E9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Для підтвердження відповідності технічним вимогам предмету закупівлі учасник надає у складі тендерної пропозиції наступні документи/інформацію:</w:t>
      </w:r>
      <w:r w:rsid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заповнену порівняльну таблицю за всіма технічними характеристиками, зазначеними у Технічній специфікації, зазначеної у цьому Додатку.</w:t>
      </w:r>
      <w:r w:rsid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</w:rPr>
        <w:t xml:space="preserve">Товар, що пропонується до поставки, повинен бути оригінальним, новим та таким, що раніше не використовувався. Не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повинен знаходитися під заставою або під арештом. Товар повинен бути в упаковці, яка відповідає характеру Товару і захищає його від пошкоджень під час поставки. У разі пошкодження Товару під час його транспортування учасник бере на себе зобов’язання замінити пошкоджений Товар на новий. Поставка товару на склад замовника, здійснюється за рахунок Учасника/Постачальника, про що учасник надає гарантійний лист.</w:t>
      </w:r>
      <w:r w:rsid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  <w:r w:rsidR="00597E93" w:rsidRP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Відповідальність за доставку Товару, а отже його цілісність несе Учасник. При отриманні Товару, у разі виявлення браку, замовник залишає за собою право повернути неякісний Товар, натомість отримати якісну заміну.</w:t>
      </w:r>
      <w:r w:rsidR="00597E9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</w:t>
      </w:r>
    </w:p>
    <w:p w:rsidR="00227069" w:rsidRDefault="004C58F8" w:rsidP="00597E93">
      <w:pPr>
        <w:widowControl/>
        <w:tabs>
          <w:tab w:val="left" w:pos="284"/>
          <w:tab w:val="left" w:pos="567"/>
        </w:tabs>
        <w:spacing w:before="100" w:after="0"/>
        <w:jc w:val="both"/>
        <w:textAlignment w:val="auto"/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kern w:val="0"/>
          <w:lang w:val="uk-UA" w:eastAsia="uk-UA"/>
        </w:rPr>
        <w:t xml:space="preserve">Місце поставки товару: </w:t>
      </w:r>
      <w:r>
        <w:rPr>
          <w:rFonts w:ascii="Times New Roman" w:eastAsia="Times New Roman" w:hAnsi="Times New Roman" w:cs="Times New Roman"/>
          <w:kern w:val="0"/>
          <w:lang w:val="uk-UA" w:eastAsia="ru-RU"/>
        </w:rPr>
        <w:t>Україна, 49045, Дніпропетровська область, м. Дніпро, пр. Науки, буд. 72.</w:t>
      </w:r>
    </w:p>
    <w:p w:rsidR="00227069" w:rsidRDefault="004C58F8" w:rsidP="00597E93">
      <w:pPr>
        <w:pStyle w:val="a3"/>
        <w:spacing w:before="100" w:after="0" w:line="240" w:lineRule="atLeast"/>
        <w:jc w:val="both"/>
      </w:pPr>
      <w:r>
        <w:rPr>
          <w:rFonts w:ascii="Times New Roman" w:eastAsia="Times New Roman" w:hAnsi="Times New Roman" w:cs="Times New Roman"/>
          <w:b/>
          <w:bCs/>
          <w:kern w:val="0"/>
          <w:lang w:val="uk-UA" w:eastAsia="ru-RU" w:bidi="en-US"/>
        </w:rPr>
        <w:t>Умови оплати:</w:t>
      </w:r>
      <w:r>
        <w:rPr>
          <w:rFonts w:ascii="Times New Roman" w:eastAsia="Times New Roman" w:hAnsi="Times New Roman" w:cs="Times New Roman"/>
          <w:bCs/>
          <w:kern w:val="0"/>
          <w:lang w:val="uk-UA" w:eastAsia="ru-RU" w:bidi="en-US"/>
        </w:rPr>
        <w:t xml:space="preserve"> Оплата здійснюється протягом 10 (десяти) календарних днів після фактичного отримання належної якості Товару на підставі підписаної Сторонами видаткової накладної.</w:t>
      </w:r>
    </w:p>
    <w:p w:rsidR="00227069" w:rsidRDefault="004C58F8" w:rsidP="00597E93">
      <w:pPr>
        <w:pStyle w:val="a3"/>
        <w:tabs>
          <w:tab w:val="left" w:pos="0"/>
          <w:tab w:val="left" w:pos="570"/>
        </w:tabs>
        <w:spacing w:before="108" w:after="0" w:line="240" w:lineRule="atLeast"/>
        <w:jc w:val="both"/>
      </w:pPr>
      <w:r>
        <w:rPr>
          <w:rStyle w:val="a4"/>
          <w:rFonts w:ascii="Times New Roman" w:hAnsi="Times New Roman"/>
          <w:b/>
          <w:bCs/>
          <w:lang w:val="uk-UA"/>
        </w:rPr>
        <w:t>Термін надання послуги</w:t>
      </w:r>
      <w:r>
        <w:rPr>
          <w:rStyle w:val="a4"/>
          <w:rFonts w:ascii="Times New Roman" w:hAnsi="Times New Roman"/>
          <w:lang w:val="uk-UA"/>
        </w:rPr>
        <w:t>: до 25 грудня 2024 року.</w:t>
      </w:r>
    </w:p>
    <w:sectPr w:rsidR="00227069">
      <w:pgSz w:w="11906" w:h="16838"/>
      <w:pgMar w:top="1134" w:right="56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80" w:rsidRDefault="00145880">
      <w:pPr>
        <w:spacing w:after="0"/>
      </w:pPr>
      <w:r>
        <w:separator/>
      </w:r>
    </w:p>
  </w:endnote>
  <w:endnote w:type="continuationSeparator" w:id="0">
    <w:p w:rsidR="00145880" w:rsidRDefault="001458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80" w:rsidRDefault="0014588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45880" w:rsidRDefault="001458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31A2"/>
    <w:multiLevelType w:val="multilevel"/>
    <w:tmpl w:val="BF247A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69"/>
    <w:rsid w:val="00145880"/>
    <w:rsid w:val="00227069"/>
    <w:rsid w:val="004C58F8"/>
    <w:rsid w:val="00597E93"/>
    <w:rsid w:val="005B6A59"/>
    <w:rsid w:val="00C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5ED3"/>
  <w15:docId w15:val="{18D4AD6C-128B-4FA8-BB1D-1711E89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pPr>
      <w:suppressAutoHyphens/>
    </w:pPr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lang w:val="uk-U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  <w:rPr>
      <w:rFonts w:cs="Arial"/>
    </w:rPr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vps2">
    <w:name w:val="rvps2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7">
    <w:name w:val="Текст у виносці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8">
    <w:name w:val="Абзац списку"/>
    <w:basedOn w:val="Standard"/>
    <w:pPr>
      <w:ind w:left="720"/>
    </w:pPr>
  </w:style>
  <w:style w:type="paragraph" w:customStyle="1" w:styleId="a9">
    <w:name w:val="Без інтервалів"/>
    <w:pPr>
      <w:widowControl/>
      <w:suppressAutoHyphens/>
      <w:spacing w:after="0"/>
    </w:pPr>
    <w:rPr>
      <w:rFonts w:eastAsia="Calibri" w:cs="Times New Roman"/>
      <w:lang w:val="uk-U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vts0">
    <w:name w:val="rvts0"/>
    <w:basedOn w:val="a4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Виділення"/>
    <w:rPr>
      <w:i/>
      <w:iCs/>
    </w:rPr>
  </w:style>
  <w:style w:type="character" w:customStyle="1" w:styleId="ab">
    <w:name w:val="Текст у виносці Знак"/>
    <w:basedOn w:val="a4"/>
    <w:rPr>
      <w:rFonts w:ascii="Segoe UI" w:eastAsia="Calibri" w:hAnsi="Segoe UI" w:cs="Segoe UI"/>
      <w:sz w:val="18"/>
      <w:szCs w:val="18"/>
      <w:lang w:val="uk-UA"/>
    </w:rPr>
  </w:style>
  <w:style w:type="character" w:customStyle="1" w:styleId="ListLabel1">
    <w:name w:val="ListLabel 1"/>
    <w:rPr>
      <w:b w:val="0"/>
      <w:color w:val="00000A"/>
      <w:sz w:val="26"/>
    </w:rPr>
  </w:style>
  <w:style w:type="character" w:customStyle="1" w:styleId="NumberingSymbols">
    <w:name w:val="Numbering Symbols"/>
  </w:style>
  <w:style w:type="paragraph" w:styleId="ac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Неразрешенное упоминание"/>
    <w:basedOn w:val="a0"/>
    <w:rPr>
      <w:color w:val="605E5C"/>
      <w:shd w:val="clear" w:color="auto" w:fill="E1DFDD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2</cp:revision>
  <cp:lastPrinted>2024-10-18T06:58:00Z</cp:lastPrinted>
  <dcterms:created xsi:type="dcterms:W3CDTF">2024-11-05T13:38:00Z</dcterms:created>
  <dcterms:modified xsi:type="dcterms:W3CDTF">2024-11-05T13:38:00Z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