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4B" w:rsidRDefault="00D0214B" w:rsidP="00D021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10</w:t>
      </w:r>
    </w:p>
    <w:p w:rsidR="00D0214B" w:rsidRDefault="00D0214B" w:rsidP="00D021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Правил прийому на навчання до</w:t>
      </w:r>
    </w:p>
    <w:p w:rsidR="00D0214B" w:rsidRDefault="00D0214B" w:rsidP="00D021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Дніпровського національного університету</w:t>
      </w:r>
    </w:p>
    <w:p w:rsidR="00D0214B" w:rsidRDefault="00D0214B" w:rsidP="00D021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імені Олеся Гончара у 2024 році</w:t>
      </w:r>
    </w:p>
    <w:p w:rsidR="00D0214B" w:rsidRDefault="00D0214B" w:rsidP="00D021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0214B" w:rsidRDefault="00D0214B" w:rsidP="00D0214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Правила прийому до докторантури </w:t>
      </w:r>
    </w:p>
    <w:p w:rsidR="00D0214B" w:rsidRDefault="00D0214B" w:rsidP="00D0214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Дніпровського національного університету імені Олеся Гончара </w:t>
      </w:r>
    </w:p>
    <w:p w:rsidR="00D0214B" w:rsidRDefault="00D0214B" w:rsidP="00D0214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2024 році</w:t>
      </w:r>
    </w:p>
    <w:p w:rsidR="00D0214B" w:rsidRDefault="00D0214B" w:rsidP="00D0214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214B" w:rsidRDefault="00D0214B" w:rsidP="00D0214B">
      <w:pPr>
        <w:tabs>
          <w:tab w:val="left" w:pos="534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en-US" w:eastAsia="uk-UA"/>
        </w:rPr>
        <w:t>I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Загальні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положення</w:t>
      </w:r>
      <w:proofErr w:type="spellEnd"/>
    </w:p>
    <w:p w:rsidR="00D0214B" w:rsidRDefault="00D0214B" w:rsidP="00D0214B">
      <w:pPr>
        <w:tabs>
          <w:tab w:val="left" w:pos="534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D0214B" w:rsidRDefault="00D0214B" w:rsidP="00D0214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Правила </w:t>
      </w:r>
      <w:proofErr w:type="spellStart"/>
      <w:r>
        <w:rPr>
          <w:rFonts w:ascii="Times New Roman" w:hAnsi="Times New Roman"/>
          <w:sz w:val="28"/>
          <w:szCs w:val="28"/>
        </w:rPr>
        <w:t>прийому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Дніпровського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національного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імені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Олеся Гончара (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далі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– Правила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прийому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розроблені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до Закону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вищу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освіту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», Порядку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здобувачів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вищої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ступеня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доктора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філософії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доктора наук у закладах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вищої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наукових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установах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Кабінету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березня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2016 року № 261 (в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редакції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постанови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Кабінету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19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травня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2023 року № 502),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визначають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порядок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прийому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здобуття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ступеня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доктора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філософії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Дніпровському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національному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університеті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імені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Олеся Гончара (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далі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університет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) у 2024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році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D0214B" w:rsidRDefault="00D0214B" w:rsidP="00D0214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Правила </w:t>
      </w:r>
      <w:proofErr w:type="spellStart"/>
      <w:r>
        <w:rPr>
          <w:rFonts w:ascii="Times New Roman" w:hAnsi="Times New Roman"/>
          <w:sz w:val="28"/>
          <w:szCs w:val="28"/>
        </w:rPr>
        <w:t>прийому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календарного року.  </w:t>
      </w:r>
    </w:p>
    <w:p w:rsidR="00D0214B" w:rsidRDefault="00D0214B" w:rsidP="00D0214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Підготовка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ступеня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доктора наук в </w:t>
      </w:r>
      <w:proofErr w:type="spellStart"/>
      <w:r>
        <w:rPr>
          <w:rFonts w:ascii="Times New Roman" w:hAnsi="Times New Roman"/>
          <w:sz w:val="28"/>
          <w:szCs w:val="28"/>
        </w:rPr>
        <w:t>докторантурі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очною (денною) формою. </w:t>
      </w:r>
    </w:p>
    <w:p w:rsidR="00D0214B" w:rsidRDefault="00D0214B" w:rsidP="00D0214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0214B" w:rsidRDefault="00D0214B" w:rsidP="00D0214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Прийом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здобуття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ступеня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доктора наук за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певною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спеціальністю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конкурсній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відповідними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</w:rPr>
        <w:t>якими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докторантурі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наведено у </w:t>
      </w:r>
      <w:proofErr w:type="spellStart"/>
      <w:r>
        <w:rPr>
          <w:rFonts w:ascii="Times New Roman" w:hAnsi="Times New Roman"/>
          <w:i/>
          <w:sz w:val="28"/>
          <w:szCs w:val="28"/>
        </w:rPr>
        <w:t>додатку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1.</w:t>
      </w:r>
    </w:p>
    <w:p w:rsidR="00D0214B" w:rsidRDefault="00D0214B" w:rsidP="00D0214B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0214B" w:rsidRDefault="00D0214B" w:rsidP="00D0214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Нормативний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строк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доктора </w:t>
      </w:r>
      <w:r>
        <w:rPr>
          <w:rFonts w:ascii="Times New Roman" w:hAnsi="Times New Roman"/>
          <w:sz w:val="28"/>
          <w:szCs w:val="28"/>
          <w:lang w:bidi="ru-RU"/>
        </w:rPr>
        <w:t xml:space="preserve">наук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докторантурі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становить два роки. </w:t>
      </w:r>
    </w:p>
    <w:p w:rsidR="00D0214B" w:rsidRDefault="00D0214B" w:rsidP="00D0214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14B" w:rsidRDefault="00D0214B" w:rsidP="00D0214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/>
          <w:sz w:val="28"/>
          <w:szCs w:val="28"/>
        </w:rPr>
        <w:t xml:space="preserve"> доктора </w:t>
      </w:r>
      <w:proofErr w:type="spellStart"/>
      <w:r>
        <w:rPr>
          <w:rFonts w:ascii="Times New Roman" w:hAnsi="Times New Roman"/>
          <w:sz w:val="28"/>
          <w:szCs w:val="28"/>
        </w:rPr>
        <w:t>філософії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/>
          <w:sz w:val="28"/>
          <w:szCs w:val="28"/>
        </w:rPr>
        <w:t xml:space="preserve"> кандидата наук), </w:t>
      </w:r>
      <w:proofErr w:type="spellStart"/>
      <w:r>
        <w:rPr>
          <w:rFonts w:ascii="Times New Roman" w:hAnsi="Times New Roman"/>
          <w:sz w:val="28"/>
          <w:szCs w:val="28"/>
        </w:rPr>
        <w:t>наукові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здобутки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опубліковані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фахових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виданнях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темою </w:t>
      </w:r>
      <w:proofErr w:type="spellStart"/>
      <w:r>
        <w:rPr>
          <w:rFonts w:ascii="Times New Roman" w:hAnsi="Times New Roman"/>
          <w:sz w:val="28"/>
          <w:szCs w:val="28"/>
        </w:rPr>
        <w:t>дисертації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bidi="ru-RU"/>
        </w:rPr>
        <w:t xml:space="preserve">журналах, </w:t>
      </w:r>
      <w:proofErr w:type="spellStart"/>
      <w:r>
        <w:rPr>
          <w:rFonts w:ascii="Times New Roman" w:hAnsi="Times New Roman"/>
          <w:sz w:val="28"/>
          <w:szCs w:val="28"/>
        </w:rPr>
        <w:t>індексованих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наукометричних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базах)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завершення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оформлення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дисертації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монографії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доповіді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сукупністю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статей.</w:t>
      </w:r>
    </w:p>
    <w:p w:rsidR="00D0214B" w:rsidRDefault="00D0214B" w:rsidP="00D0214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14B" w:rsidRDefault="00D0214B" w:rsidP="00D0214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14B" w:rsidRDefault="00D0214B" w:rsidP="00D0214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14B" w:rsidRDefault="00D0214B" w:rsidP="00D0214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14B" w:rsidRDefault="00D0214B" w:rsidP="00D0214B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фахівців</w:t>
      </w:r>
      <w:proofErr w:type="spellEnd"/>
    </w:p>
    <w:p w:rsidR="00D0214B" w:rsidRDefault="00D0214B" w:rsidP="00D0214B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0214B" w:rsidRDefault="00D0214B" w:rsidP="00D0214B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Підготовка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докторантурі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0214B" w:rsidRDefault="00D0214B" w:rsidP="00D021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видатків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державного та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бюджетів</w:t>
      </w:r>
      <w:proofErr w:type="spellEnd"/>
      <w:r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/>
          <w:sz w:val="28"/>
          <w:szCs w:val="28"/>
        </w:rPr>
        <w:t>державним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замовленням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0214B" w:rsidRDefault="00D0214B" w:rsidP="00D021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кошти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юридичних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контракту, </w:t>
      </w:r>
      <w:proofErr w:type="spellStart"/>
      <w:r>
        <w:rPr>
          <w:rFonts w:ascii="Times New Roman" w:hAnsi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кошти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досліджень</w:t>
      </w:r>
      <w:proofErr w:type="spellEnd"/>
      <w:r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</w:rPr>
        <w:t>якими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передбачається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ступеня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доктора наук).</w:t>
      </w:r>
    </w:p>
    <w:p w:rsidR="00D0214B" w:rsidRDefault="00D0214B" w:rsidP="00D0214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14B" w:rsidRDefault="00D0214B" w:rsidP="00D0214B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перебування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докторантурі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докторантом та </w:t>
      </w:r>
      <w:proofErr w:type="spellStart"/>
      <w:r>
        <w:rPr>
          <w:rFonts w:ascii="Times New Roman" w:hAnsi="Times New Roman"/>
          <w:sz w:val="28"/>
          <w:szCs w:val="28"/>
        </w:rPr>
        <w:t>університетом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договір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214B" w:rsidRDefault="00D0214B" w:rsidP="00D0214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14B" w:rsidRDefault="00D0214B" w:rsidP="00D0214B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Особа, яка </w:t>
      </w:r>
      <w:proofErr w:type="spellStart"/>
      <w:r>
        <w:rPr>
          <w:rFonts w:ascii="Times New Roman" w:hAnsi="Times New Roman"/>
          <w:sz w:val="28"/>
          <w:szCs w:val="28"/>
        </w:rPr>
        <w:t>раніше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докторантурі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державним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замовленням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і не </w:t>
      </w:r>
      <w:proofErr w:type="spellStart"/>
      <w:r>
        <w:rPr>
          <w:rFonts w:ascii="Times New Roman" w:hAnsi="Times New Roman"/>
          <w:sz w:val="28"/>
          <w:szCs w:val="28"/>
        </w:rPr>
        <w:t>захистила</w:t>
      </w:r>
      <w:proofErr w:type="spellEnd"/>
      <w:r>
        <w:rPr>
          <w:rFonts w:ascii="Times New Roman" w:hAnsi="Times New Roman"/>
          <w:sz w:val="28"/>
          <w:szCs w:val="28"/>
        </w:rPr>
        <w:t xml:space="preserve"> в установлений строк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досягнення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вигляді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дисертації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або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опублікованої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монографії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або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сукупністю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опублікованих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вітчизняних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міжнародних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рецензованих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фахових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виданнях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статей у </w:t>
      </w:r>
      <w:proofErr w:type="spellStart"/>
      <w:r>
        <w:rPr>
          <w:rFonts w:ascii="Times New Roman" w:hAnsi="Times New Roman"/>
          <w:sz w:val="28"/>
          <w:szCs w:val="28"/>
        </w:rPr>
        <w:t>спеціалізованій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вченій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відрахована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неї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достроково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>
        <w:rPr>
          <w:rFonts w:ascii="Times New Roman" w:hAnsi="Times New Roman"/>
          <w:sz w:val="28"/>
          <w:szCs w:val="28"/>
        </w:rPr>
        <w:t>повторний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вступ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державним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замовленням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умови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відшкодування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витрачених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підготовку</w:t>
      </w:r>
      <w:proofErr w:type="spellEnd"/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визначеному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порядку. </w:t>
      </w:r>
    </w:p>
    <w:p w:rsidR="00D0214B" w:rsidRDefault="00D0214B" w:rsidP="00D021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0214B" w:rsidRDefault="00D0214B" w:rsidP="00D0214B">
      <w:pPr>
        <w:widowControl w:val="0"/>
        <w:tabs>
          <w:tab w:val="left" w:pos="1134"/>
        </w:tabs>
        <w:spacing w:after="0"/>
        <w:ind w:left="709" w:hanging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ІІІ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Строки і порядок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прийому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вступу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докторантури</w:t>
      </w:r>
      <w:proofErr w:type="spellEnd"/>
    </w:p>
    <w:p w:rsidR="00D0214B" w:rsidRDefault="00D0214B" w:rsidP="00D0214B">
      <w:pPr>
        <w:widowControl w:val="0"/>
        <w:tabs>
          <w:tab w:val="left" w:pos="1134"/>
        </w:tabs>
        <w:spacing w:after="0"/>
        <w:ind w:left="709" w:hanging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0214B" w:rsidRDefault="00D0214B" w:rsidP="00D0214B">
      <w:pPr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</w:t>
      </w:r>
      <w:proofErr w:type="spellStart"/>
      <w:r>
        <w:rPr>
          <w:rFonts w:ascii="Times New Roman" w:hAnsi="Times New Roman"/>
          <w:sz w:val="28"/>
          <w:szCs w:val="28"/>
        </w:rPr>
        <w:t>прийому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рекомендацій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зарахування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нижче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D0214B" w:rsidRDefault="00D0214B" w:rsidP="00D0214B">
      <w:pPr>
        <w:widowControl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6661"/>
        <w:gridCol w:w="2268"/>
      </w:tblGrid>
      <w:tr w:rsidR="00D0214B" w:rsidTr="00D0214B">
        <w:trPr>
          <w:trHeight w:hRule="exact" w:val="3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 w:bidi="uk-UA"/>
              </w:rPr>
              <w:t>Етапи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 w:bidi="uk-UA"/>
              </w:rPr>
              <w:t>вступу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 w:bidi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 w:bidi="uk-UA"/>
              </w:rPr>
              <w:t>Терміни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 xml:space="preserve"> 2024р.</w:t>
            </w:r>
          </w:p>
        </w:tc>
      </w:tr>
      <w:tr w:rsidR="00D0214B" w:rsidTr="00D0214B">
        <w:trPr>
          <w:trHeight w:hRule="exact" w:val="6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Прийом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документів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з 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серпня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по </w:t>
            </w:r>
          </w:p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вересня</w:t>
            </w:r>
            <w:proofErr w:type="spellEnd"/>
          </w:p>
        </w:tc>
      </w:tr>
      <w:tr w:rsidR="00D0214B" w:rsidTr="00D0214B">
        <w:trPr>
          <w:trHeight w:hRule="exact" w:val="97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Оприлюднення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рейтингового списку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вступників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рекомендацією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вступників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зарахування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докторантури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до 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вересня</w:t>
            </w:r>
            <w:proofErr w:type="spellEnd"/>
          </w:p>
        </w:tc>
      </w:tr>
      <w:tr w:rsidR="00D0214B" w:rsidTr="00D0214B">
        <w:trPr>
          <w:trHeight w:hRule="exact" w:val="12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3.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Розгляд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вченою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радою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університету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рекомендацій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зарахування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висновків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кафедр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прийняття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зарахування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докторантури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до 27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вересня</w:t>
            </w:r>
            <w:proofErr w:type="spellEnd"/>
          </w:p>
        </w:tc>
      </w:tr>
      <w:tr w:rsidR="00D0214B" w:rsidTr="00D0214B">
        <w:trPr>
          <w:trHeight w:val="6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4.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Зарахування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вступників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кошти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державного бюджету та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кошти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юридичних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фізичних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осіб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до 01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жовтня</w:t>
            </w:r>
            <w:proofErr w:type="spellEnd"/>
          </w:p>
        </w:tc>
      </w:tr>
      <w:tr w:rsidR="00D0214B" w:rsidTr="00D0214B">
        <w:trPr>
          <w:trHeight w:hRule="exact" w:val="7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lastRenderedPageBreak/>
              <w:t>5.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Початок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докторантурі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пізніше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</w:p>
          <w:p w:rsidR="00D0214B" w:rsidRDefault="00D0214B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жовтня</w:t>
            </w:r>
            <w:proofErr w:type="spellEnd"/>
          </w:p>
        </w:tc>
      </w:tr>
    </w:tbl>
    <w:p w:rsidR="00D0214B" w:rsidRDefault="00D0214B" w:rsidP="00D0214B">
      <w:pPr>
        <w:widowControl w:val="0"/>
        <w:spacing w:after="0"/>
        <w:ind w:left="709"/>
        <w:rPr>
          <w:rFonts w:ascii="Times New Roman" w:hAnsi="Times New Roman"/>
          <w:sz w:val="28"/>
          <w:szCs w:val="28"/>
          <w:lang w:val="uk-UA"/>
        </w:rPr>
      </w:pPr>
    </w:p>
    <w:p w:rsidR="00D0214B" w:rsidRDefault="00D0214B" w:rsidP="00D0214B">
      <w:pPr>
        <w:widowControl w:val="0"/>
        <w:spacing w:after="0"/>
        <w:ind w:left="709"/>
        <w:rPr>
          <w:rFonts w:ascii="Times New Roman" w:hAnsi="Times New Roman"/>
          <w:sz w:val="28"/>
          <w:szCs w:val="28"/>
          <w:lang w:val="uk-UA"/>
        </w:rPr>
      </w:pPr>
    </w:p>
    <w:p w:rsidR="00D0214B" w:rsidRDefault="00D0214B" w:rsidP="00D0214B">
      <w:pPr>
        <w:pStyle w:val="a3"/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вступу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вступник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подає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аспірантури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0214B" w:rsidRDefault="00D0214B" w:rsidP="00D0214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заяву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ім’я</w:t>
      </w:r>
      <w:proofErr w:type="spellEnd"/>
      <w:r>
        <w:rPr>
          <w:rFonts w:ascii="Times New Roman" w:hAnsi="Times New Roman"/>
          <w:sz w:val="28"/>
          <w:szCs w:val="28"/>
        </w:rPr>
        <w:t xml:space="preserve"> ректора про </w:t>
      </w:r>
      <w:proofErr w:type="spellStart"/>
      <w:r>
        <w:rPr>
          <w:rFonts w:ascii="Times New Roman" w:hAnsi="Times New Roman"/>
          <w:sz w:val="28"/>
          <w:szCs w:val="28"/>
        </w:rPr>
        <w:t>вступ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0214B" w:rsidRDefault="00D0214B" w:rsidP="00D0214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витяг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 факультету</w:t>
      </w:r>
      <w:proofErr w:type="gram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>
        <w:rPr>
          <w:rFonts w:ascii="Times New Roman" w:hAnsi="Times New Roman"/>
          <w:sz w:val="28"/>
          <w:szCs w:val="28"/>
        </w:rPr>
        <w:t>докторської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дисертації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(при </w:t>
      </w:r>
      <w:proofErr w:type="spellStart"/>
      <w:r>
        <w:rPr>
          <w:rFonts w:ascii="Times New Roman" w:hAnsi="Times New Roman"/>
          <w:sz w:val="28"/>
          <w:szCs w:val="28"/>
        </w:rPr>
        <w:t>необхідності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наукового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консультанта; </w:t>
      </w:r>
    </w:p>
    <w:p w:rsidR="00D0214B" w:rsidRDefault="00D0214B" w:rsidP="00D0214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письмову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характеристику </w:t>
      </w:r>
      <w:proofErr w:type="spellStart"/>
      <w:r>
        <w:rPr>
          <w:rFonts w:ascii="Times New Roman" w:hAnsi="Times New Roman"/>
          <w:sz w:val="28"/>
          <w:szCs w:val="28"/>
        </w:rPr>
        <w:t>наукової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вступника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складену</w:t>
      </w:r>
      <w:proofErr w:type="spellEnd"/>
      <w:r>
        <w:rPr>
          <w:rFonts w:ascii="Times New Roman" w:hAnsi="Times New Roman"/>
          <w:sz w:val="28"/>
          <w:szCs w:val="28"/>
        </w:rPr>
        <w:t xml:space="preserve"> доктором наук,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штатним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науково-педагогічним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згодою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науковим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консультантом в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вступу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0214B" w:rsidRDefault="00D0214B" w:rsidP="00D0214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розгорнутий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/>
          <w:sz w:val="28"/>
          <w:szCs w:val="28"/>
        </w:rPr>
        <w:t>дисертації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здобуття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ступеня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доктора наук за </w:t>
      </w:r>
      <w:proofErr w:type="spellStart"/>
      <w:r>
        <w:rPr>
          <w:rFonts w:ascii="Times New Roman" w:hAnsi="Times New Roman"/>
          <w:sz w:val="28"/>
          <w:szCs w:val="28"/>
        </w:rPr>
        <w:t>підписом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майбутнього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консультанта;</w:t>
      </w:r>
    </w:p>
    <w:p w:rsidR="00D0214B" w:rsidRDefault="00D0214B" w:rsidP="00D0214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proofErr w:type="spellStart"/>
      <w:r>
        <w:rPr>
          <w:rFonts w:ascii="Times New Roman" w:hAnsi="Times New Roman"/>
          <w:sz w:val="28"/>
          <w:szCs w:val="28"/>
        </w:rPr>
        <w:t>опублікованих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винаходів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фахових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спеціальністю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передбачуваної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дисертації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0214B" w:rsidRDefault="00D0214B" w:rsidP="00D0214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копію</w:t>
      </w:r>
      <w:proofErr w:type="spellEnd"/>
      <w:r>
        <w:rPr>
          <w:rFonts w:ascii="Times New Roman" w:hAnsi="Times New Roman"/>
          <w:sz w:val="28"/>
          <w:szCs w:val="28"/>
        </w:rPr>
        <w:t xml:space="preserve"> диплома доктора </w:t>
      </w:r>
      <w:proofErr w:type="spellStart"/>
      <w:r>
        <w:rPr>
          <w:rFonts w:ascii="Times New Roman" w:hAnsi="Times New Roman"/>
          <w:sz w:val="28"/>
          <w:szCs w:val="28"/>
        </w:rPr>
        <w:t>філософії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кандидата наук;</w:t>
      </w:r>
    </w:p>
    <w:p w:rsidR="00D0214B" w:rsidRDefault="00D0214B" w:rsidP="00D0214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атестата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доцента (</w:t>
      </w:r>
      <w:proofErr w:type="spellStart"/>
      <w:r>
        <w:rPr>
          <w:rFonts w:ascii="Times New Roman" w:hAnsi="Times New Roman"/>
          <w:sz w:val="28"/>
          <w:szCs w:val="28"/>
        </w:rPr>
        <w:t>професора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старшого </w:t>
      </w:r>
      <w:proofErr w:type="spellStart"/>
      <w:r>
        <w:rPr>
          <w:rFonts w:ascii="Times New Roman" w:hAnsi="Times New Roman"/>
          <w:sz w:val="28"/>
          <w:szCs w:val="28"/>
        </w:rPr>
        <w:t>дослідника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старшого </w:t>
      </w:r>
      <w:proofErr w:type="spellStart"/>
      <w:r>
        <w:rPr>
          <w:rFonts w:ascii="Times New Roman" w:hAnsi="Times New Roman"/>
          <w:sz w:val="28"/>
          <w:szCs w:val="28"/>
        </w:rPr>
        <w:t>наукового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співробітника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) (за </w:t>
      </w:r>
      <w:proofErr w:type="spellStart"/>
      <w:r>
        <w:rPr>
          <w:rFonts w:ascii="Times New Roman" w:hAnsi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0214B" w:rsidRDefault="00D0214B" w:rsidP="00D0214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особовий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листок з </w:t>
      </w:r>
      <w:proofErr w:type="spellStart"/>
      <w:r>
        <w:rPr>
          <w:rFonts w:ascii="Times New Roman" w:hAnsi="Times New Roman"/>
          <w:sz w:val="28"/>
          <w:szCs w:val="28"/>
        </w:rPr>
        <w:t>обліку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кадрів</w:t>
      </w:r>
      <w:proofErr w:type="spellEnd"/>
      <w:r>
        <w:rPr>
          <w:rFonts w:ascii="Times New Roman" w:hAnsi="Times New Roman"/>
          <w:sz w:val="28"/>
          <w:szCs w:val="28"/>
        </w:rPr>
        <w:t xml:space="preserve"> (з </w:t>
      </w:r>
      <w:proofErr w:type="spellStart"/>
      <w:r>
        <w:rPr>
          <w:rFonts w:ascii="Times New Roman" w:hAnsi="Times New Roman"/>
          <w:sz w:val="28"/>
          <w:szCs w:val="28"/>
        </w:rPr>
        <w:t>фотокарткою</w:t>
      </w:r>
      <w:proofErr w:type="spellEnd"/>
      <w:r>
        <w:rPr>
          <w:rFonts w:ascii="Times New Roman" w:hAnsi="Times New Roman"/>
          <w:sz w:val="28"/>
          <w:szCs w:val="28"/>
        </w:rPr>
        <w:t xml:space="preserve"> 4х6), </w:t>
      </w:r>
      <w:proofErr w:type="spellStart"/>
      <w:r>
        <w:rPr>
          <w:rFonts w:ascii="Times New Roman" w:hAnsi="Times New Roman"/>
          <w:sz w:val="28"/>
          <w:szCs w:val="28"/>
        </w:rPr>
        <w:t>засвідчений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печаткою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тієї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установи, в </w:t>
      </w:r>
      <w:proofErr w:type="spellStart"/>
      <w:r>
        <w:rPr>
          <w:rFonts w:ascii="Times New Roman" w:hAnsi="Times New Roman"/>
          <w:sz w:val="28"/>
          <w:szCs w:val="28"/>
        </w:rPr>
        <w:t>якій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вступник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0214B" w:rsidRDefault="00D0214B" w:rsidP="00D0214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копію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документа,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посвідчує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особу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громадянство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0214B" w:rsidRDefault="00D0214B" w:rsidP="00D0214B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копію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військово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квитка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D0214B" w:rsidRDefault="00D0214B" w:rsidP="00D0214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ідентифікаційного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коду;</w:t>
      </w:r>
    </w:p>
    <w:p w:rsidR="00D0214B" w:rsidRDefault="00D0214B" w:rsidP="00D0214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заяву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згоди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збір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214B" w:rsidRDefault="00D0214B" w:rsidP="00D02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Паспорт, диплом про </w:t>
      </w:r>
      <w:proofErr w:type="spellStart"/>
      <w:r>
        <w:rPr>
          <w:rFonts w:ascii="Times New Roman" w:hAnsi="Times New Roman"/>
          <w:sz w:val="28"/>
          <w:szCs w:val="28"/>
        </w:rPr>
        <w:t>вищу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, диплом про </w:t>
      </w:r>
      <w:proofErr w:type="spellStart"/>
      <w:r>
        <w:rPr>
          <w:rFonts w:ascii="Times New Roman" w:hAnsi="Times New Roman"/>
          <w:sz w:val="28"/>
          <w:szCs w:val="28"/>
        </w:rPr>
        <w:t>присудження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ступеня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доктора </w:t>
      </w:r>
      <w:proofErr w:type="spellStart"/>
      <w:r>
        <w:rPr>
          <w:rFonts w:ascii="Times New Roman" w:hAnsi="Times New Roman"/>
          <w:sz w:val="28"/>
          <w:szCs w:val="28"/>
        </w:rPr>
        <w:t>філософії</w:t>
      </w:r>
      <w:proofErr w:type="spellEnd"/>
      <w:r>
        <w:rPr>
          <w:rFonts w:ascii="Times New Roman" w:hAnsi="Times New Roman"/>
          <w:sz w:val="28"/>
          <w:szCs w:val="28"/>
        </w:rPr>
        <w:t xml:space="preserve"> (кандидата наук), </w:t>
      </w:r>
      <w:proofErr w:type="spellStart"/>
      <w:r>
        <w:rPr>
          <w:rFonts w:ascii="Times New Roman" w:hAnsi="Times New Roman"/>
          <w:sz w:val="28"/>
          <w:szCs w:val="28"/>
        </w:rPr>
        <w:t>атестат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вступниками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Копія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книжки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звільнення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останнього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вступом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докторантом </w:t>
      </w:r>
      <w:proofErr w:type="spellStart"/>
      <w:r>
        <w:rPr>
          <w:rFonts w:ascii="Times New Roman" w:hAnsi="Times New Roman"/>
          <w:sz w:val="28"/>
          <w:szCs w:val="28"/>
        </w:rPr>
        <w:t>особисто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десятиденний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214B" w:rsidRDefault="00D0214B" w:rsidP="00D02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14B" w:rsidRDefault="00D0214B" w:rsidP="00D0214B">
      <w:pPr>
        <w:widowControl w:val="0"/>
        <w:tabs>
          <w:tab w:val="left" w:pos="1134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Організація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конкурсного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відбору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зарахування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докторантури</w:t>
      </w:r>
      <w:proofErr w:type="spellEnd"/>
    </w:p>
    <w:p w:rsidR="00D0214B" w:rsidRDefault="00D0214B" w:rsidP="00D0214B">
      <w:pPr>
        <w:widowControl w:val="0"/>
        <w:tabs>
          <w:tab w:val="left" w:pos="1134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0214B" w:rsidRDefault="00D0214B" w:rsidP="00D0214B">
      <w:pPr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Прийом до докторантури здійснюється за рішенням вченої ради університету з урахуванням наукових, науково-технічних досягнень за обраною спеціальністю відповідно до встановлених вимог та висновків кафедр, сформованих на підставі наукової доповіді вступника до докторантури. </w:t>
      </w:r>
    </w:p>
    <w:p w:rsidR="00D0214B" w:rsidRDefault="00D0214B" w:rsidP="00D0214B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14B" w:rsidRDefault="00D0214B" w:rsidP="00D0214B">
      <w:pPr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14B">
        <w:rPr>
          <w:rFonts w:ascii="Times New Roman" w:hAnsi="Times New Roman"/>
          <w:sz w:val="28"/>
          <w:szCs w:val="28"/>
          <w:lang w:val="uk-UA"/>
        </w:rPr>
        <w:t xml:space="preserve">Кафедра розглядає розгорнуті пропозиції вступників до докторантури, </w:t>
      </w:r>
      <w:r w:rsidRPr="00D0214B">
        <w:rPr>
          <w:rFonts w:ascii="Times New Roman" w:hAnsi="Times New Roman"/>
          <w:sz w:val="28"/>
          <w:szCs w:val="28"/>
          <w:lang w:val="uk-UA"/>
        </w:rPr>
        <w:lastRenderedPageBreak/>
        <w:t xml:space="preserve">в яких міститься план дослідницької роботи та інформація про обсяг наукової роботи, необхідної для підготовки результатів проведених досліджень до захисту, список опублікованих праць, та заслуховує наукові доповіді вступників. </w:t>
      </w:r>
      <w:r>
        <w:rPr>
          <w:rFonts w:ascii="Times New Roman" w:hAnsi="Times New Roman"/>
          <w:sz w:val="28"/>
          <w:szCs w:val="28"/>
        </w:rPr>
        <w:t xml:space="preserve">Шляхом </w:t>
      </w:r>
      <w:proofErr w:type="spellStart"/>
      <w:r>
        <w:rPr>
          <w:rFonts w:ascii="Times New Roman" w:hAnsi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>
        <w:rPr>
          <w:rFonts w:ascii="Times New Roman" w:hAnsi="Times New Roman"/>
          <w:sz w:val="28"/>
          <w:szCs w:val="28"/>
        </w:rPr>
        <w:t>вступника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висновки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 факультету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Витяг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факультету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зарахування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>
        <w:rPr>
          <w:rFonts w:ascii="Times New Roman" w:hAnsi="Times New Roman"/>
          <w:sz w:val="28"/>
          <w:szCs w:val="28"/>
        </w:rPr>
        <w:t>докторської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дисертації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консультанта (за </w:t>
      </w:r>
      <w:proofErr w:type="spellStart"/>
      <w:r>
        <w:rPr>
          <w:rFonts w:ascii="Times New Roman" w:hAnsi="Times New Roman"/>
          <w:sz w:val="28"/>
          <w:szCs w:val="28"/>
        </w:rPr>
        <w:t>необхідності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подається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аспірантури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214B" w:rsidRDefault="00D0214B" w:rsidP="00D0214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14B" w:rsidRDefault="00D0214B" w:rsidP="00D0214B">
      <w:pPr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аспірантури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формує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рейтингового списку </w:t>
      </w:r>
      <w:proofErr w:type="spellStart"/>
      <w:r>
        <w:rPr>
          <w:rFonts w:ascii="Times New Roman" w:hAnsi="Times New Roman"/>
          <w:sz w:val="28"/>
          <w:szCs w:val="28"/>
        </w:rPr>
        <w:t>вступників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Рейтинговий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список </w:t>
      </w:r>
      <w:proofErr w:type="spellStart"/>
      <w:r>
        <w:rPr>
          <w:rFonts w:ascii="Times New Roman" w:hAnsi="Times New Roman"/>
          <w:sz w:val="28"/>
          <w:szCs w:val="28"/>
        </w:rPr>
        <w:t>формують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спеціальностями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впорядковують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конкурсним</w:t>
      </w:r>
      <w:proofErr w:type="spellEnd"/>
      <w:r>
        <w:rPr>
          <w:rFonts w:ascii="Times New Roman" w:hAnsi="Times New Roman"/>
          <w:sz w:val="28"/>
          <w:szCs w:val="28"/>
        </w:rPr>
        <w:t xml:space="preserve"> балом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меншого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 такими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9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492"/>
        <w:gridCol w:w="2213"/>
      </w:tblGrid>
      <w:tr w:rsidR="00D0214B" w:rsidTr="00D021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B" w:rsidRDefault="00D02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4B" w:rsidRDefault="00D02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публікації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4B" w:rsidRDefault="00D02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балів</w:t>
            </w:r>
            <w:proofErr w:type="spellEnd"/>
          </w:p>
        </w:tc>
      </w:tr>
      <w:tr w:rsidR="00D0214B" w:rsidTr="00D021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B" w:rsidRDefault="00D02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B" w:rsidRDefault="00D021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Наукові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статті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за темою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дисертації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наукових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фахових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виданнях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категорія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Б) (у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співавторстві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).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B" w:rsidRDefault="00D02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статтю</w:t>
            </w:r>
            <w:proofErr w:type="spellEnd"/>
          </w:p>
        </w:tc>
      </w:tr>
      <w:tr w:rsidR="00D0214B" w:rsidTr="00D021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B" w:rsidRDefault="00D02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B" w:rsidRDefault="00D021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Наукові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статті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за темою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дисертації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наукових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фахових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виданнях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категорія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Б)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одноосібна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).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B" w:rsidRDefault="00D02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статтю</w:t>
            </w:r>
            <w:proofErr w:type="spellEnd"/>
          </w:p>
        </w:tc>
      </w:tr>
      <w:tr w:rsidR="00D0214B" w:rsidTr="00D021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B" w:rsidRDefault="00D02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B" w:rsidRDefault="00D021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Наукові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статті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за темою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дисертації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наукових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виданнях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категорія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А),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проіндексованих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в базах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даних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Scopus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Web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of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Science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(у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співавторстві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).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B" w:rsidRDefault="00D02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статтю</w:t>
            </w:r>
            <w:proofErr w:type="spellEnd"/>
          </w:p>
        </w:tc>
      </w:tr>
      <w:tr w:rsidR="00D0214B" w:rsidTr="00D021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B" w:rsidRDefault="00D02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B" w:rsidRDefault="00D021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Наукові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статті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за темою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дисертації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наукових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виданнях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категорія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А),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проіндексованих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в базах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даних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Scopus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Web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of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Science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одноосібна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).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B" w:rsidRDefault="00D02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статтю</w:t>
            </w:r>
            <w:proofErr w:type="spellEnd"/>
          </w:p>
        </w:tc>
      </w:tr>
      <w:tr w:rsidR="00D0214B" w:rsidRPr="00D0214B" w:rsidTr="00D021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B" w:rsidRDefault="00D02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B" w:rsidRDefault="00D021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Наявність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опублікованої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монографії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за темою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дисертації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B" w:rsidRDefault="00D021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аркушів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*3/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співавторів</w:t>
            </w:r>
            <w:proofErr w:type="spellEnd"/>
          </w:p>
        </w:tc>
      </w:tr>
      <w:tr w:rsidR="00D0214B" w:rsidTr="00D021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B" w:rsidRDefault="00D02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B" w:rsidRDefault="00D021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Охоронні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об’єкти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інтелектуальної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патент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корисну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модель, патент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винахід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авторське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свідоцтво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країн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4B" w:rsidRDefault="00D021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</w:p>
        </w:tc>
      </w:tr>
    </w:tbl>
    <w:p w:rsidR="00D0214B" w:rsidRDefault="00D0214B" w:rsidP="00D0214B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0214B" w:rsidRDefault="00D0214B" w:rsidP="00D0214B">
      <w:pPr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рівності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конкурсного балу </w:t>
      </w:r>
      <w:proofErr w:type="spellStart"/>
      <w:r>
        <w:rPr>
          <w:rFonts w:ascii="Times New Roman" w:hAnsi="Times New Roman"/>
          <w:sz w:val="28"/>
          <w:szCs w:val="28"/>
        </w:rPr>
        <w:t>переважне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при </w:t>
      </w:r>
      <w:proofErr w:type="spellStart"/>
      <w:r>
        <w:rPr>
          <w:rFonts w:ascii="Times New Roman" w:hAnsi="Times New Roman"/>
          <w:sz w:val="28"/>
          <w:szCs w:val="28"/>
        </w:rPr>
        <w:t>зарахуванні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вступники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D0214B" w:rsidRDefault="00D0214B" w:rsidP="00D0214B">
      <w:pPr>
        <w:widowControl w:val="0"/>
        <w:tabs>
          <w:tab w:val="left" w:pos="715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отримали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сертифікат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зразка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іноземної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професійним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спрямуванням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підтверджує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рівні</w:t>
      </w:r>
      <w:proofErr w:type="spellEnd"/>
      <w:r>
        <w:rPr>
          <w:rFonts w:ascii="Times New Roman" w:hAnsi="Times New Roman"/>
          <w:sz w:val="28"/>
          <w:szCs w:val="28"/>
        </w:rPr>
        <w:t xml:space="preserve"> В2-С2;</w:t>
      </w:r>
    </w:p>
    <w:p w:rsidR="00D0214B" w:rsidRDefault="00D0214B" w:rsidP="00D0214B">
      <w:pPr>
        <w:widowControl w:val="0"/>
        <w:tabs>
          <w:tab w:val="left" w:pos="715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 xml:space="preserve">проходили </w:t>
      </w:r>
      <w:proofErr w:type="spellStart"/>
      <w:r>
        <w:rPr>
          <w:rFonts w:ascii="Times New Roman" w:hAnsi="Times New Roman"/>
          <w:sz w:val="28"/>
          <w:szCs w:val="28"/>
        </w:rPr>
        <w:t>стажування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закордонних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установах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214B" w:rsidRDefault="00D0214B" w:rsidP="00D0214B">
      <w:pPr>
        <w:widowControl w:val="0"/>
        <w:tabs>
          <w:tab w:val="left" w:pos="715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14B" w:rsidRPr="00D0214B" w:rsidRDefault="00D0214B" w:rsidP="00D0214B">
      <w:pPr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214B">
        <w:rPr>
          <w:rFonts w:ascii="Times New Roman" w:hAnsi="Times New Roman"/>
          <w:sz w:val="28"/>
          <w:szCs w:val="28"/>
          <w:lang w:val="uk-UA"/>
        </w:rPr>
        <w:t xml:space="preserve">Відповідно до наданої характеристики наукової діяльності вступника </w:t>
      </w:r>
      <w:r w:rsidRPr="00D0214B">
        <w:rPr>
          <w:rFonts w:ascii="Times New Roman" w:hAnsi="Times New Roman"/>
          <w:sz w:val="28"/>
          <w:szCs w:val="28"/>
          <w:lang w:val="uk-UA"/>
        </w:rPr>
        <w:lastRenderedPageBreak/>
        <w:t>вчена рада фак</w:t>
      </w:r>
      <w:bookmarkStart w:id="0" w:name="_GoBack"/>
      <w:bookmarkEnd w:id="0"/>
      <w:r w:rsidRPr="00D0214B">
        <w:rPr>
          <w:rFonts w:ascii="Times New Roman" w:hAnsi="Times New Roman"/>
          <w:sz w:val="28"/>
          <w:szCs w:val="28"/>
          <w:lang w:val="uk-UA"/>
        </w:rPr>
        <w:t>ультету рекомендує кандидатуру наукового консультанта з числа штатних науково-педагогічних або наукових працівників університету із ступенем доктора наук з відповідної спеціальності (за необхідності).</w:t>
      </w:r>
    </w:p>
    <w:p w:rsidR="00D0214B" w:rsidRPr="00D0214B" w:rsidRDefault="00D0214B" w:rsidP="00D0214B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14B" w:rsidRDefault="00D0214B" w:rsidP="00D0214B">
      <w:pPr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кафедр та </w:t>
      </w:r>
      <w:proofErr w:type="spellStart"/>
      <w:r>
        <w:rPr>
          <w:rFonts w:ascii="Times New Roman" w:hAnsi="Times New Roman"/>
          <w:sz w:val="28"/>
          <w:szCs w:val="28"/>
        </w:rPr>
        <w:t>факультетів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>
        <w:rPr>
          <w:rFonts w:ascii="Times New Roman" w:hAnsi="Times New Roman"/>
          <w:sz w:val="28"/>
          <w:szCs w:val="28"/>
        </w:rPr>
        <w:t>вступника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приймає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зарахування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214B" w:rsidRDefault="00D0214B" w:rsidP="00D0214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14B" w:rsidRDefault="00D0214B" w:rsidP="00D0214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857250</wp:posOffset>
            </wp:positionV>
            <wp:extent cx="1485900" cy="1345565"/>
            <wp:effectExtent l="0" t="0" r="0" b="6985"/>
            <wp:wrapNone/>
            <wp:docPr id="1" name="Рисунок 1" descr="Подпись Марен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Маренк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bidi="ru-RU"/>
        </w:rPr>
        <w:t xml:space="preserve">7. Наказ про </w:t>
      </w:r>
      <w:proofErr w:type="spellStart"/>
      <w:r>
        <w:rPr>
          <w:rFonts w:ascii="Times New Roman" w:hAnsi="Times New Roman"/>
          <w:sz w:val="28"/>
          <w:szCs w:val="28"/>
        </w:rPr>
        <w:t>зарахування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ректором на </w:t>
      </w:r>
      <w:proofErr w:type="spellStart"/>
      <w:r>
        <w:rPr>
          <w:rFonts w:ascii="Times New Roman" w:hAnsi="Times New Roman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</w:rPr>
        <w:t xml:space="preserve">. Наказ </w:t>
      </w:r>
      <w:proofErr w:type="spellStart"/>
      <w:r>
        <w:rPr>
          <w:rFonts w:ascii="Times New Roman" w:hAnsi="Times New Roman"/>
          <w:sz w:val="28"/>
          <w:szCs w:val="28"/>
        </w:rPr>
        <w:t>оприлюднюється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інформаційному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стенді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аспірантури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докторантури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та/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веб-</w:t>
      </w:r>
      <w:proofErr w:type="spellStart"/>
      <w:r>
        <w:rPr>
          <w:rFonts w:ascii="Times New Roman" w:hAnsi="Times New Roman"/>
          <w:sz w:val="28"/>
          <w:szCs w:val="28"/>
        </w:rPr>
        <w:t>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214B" w:rsidRDefault="00D0214B" w:rsidP="00D0214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D0214B" w:rsidRDefault="00D0214B" w:rsidP="00D0214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0214B" w:rsidRDefault="00D0214B" w:rsidP="00D0214B">
      <w:pPr>
        <w:spacing w:after="0"/>
        <w:ind w:left="707" w:hanging="70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Проректор з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наукової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Олег МАРЕНКОВ</w:t>
      </w:r>
    </w:p>
    <w:p w:rsidR="00D0214B" w:rsidRDefault="00D0214B" w:rsidP="00D0214B">
      <w:pPr>
        <w:ind w:firstLine="720"/>
        <w:jc w:val="both"/>
        <w:rPr>
          <w:szCs w:val="28"/>
        </w:rPr>
      </w:pPr>
    </w:p>
    <w:p w:rsidR="00CE0B72" w:rsidRDefault="00CE0B72"/>
    <w:sectPr w:rsidR="00CE0B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F07"/>
    <w:multiLevelType w:val="multilevel"/>
    <w:tmpl w:val="FF5E6B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28B2496"/>
    <w:multiLevelType w:val="multilevel"/>
    <w:tmpl w:val="46942CFC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261D5BC6"/>
    <w:multiLevelType w:val="multilevel"/>
    <w:tmpl w:val="052476C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19" w:hanging="14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</w:rPr>
    </w:lvl>
  </w:abstractNum>
  <w:abstractNum w:abstractNumId="3" w15:restartNumberingAfterBreak="0">
    <w:nsid w:val="270224F3"/>
    <w:multiLevelType w:val="hybridMultilevel"/>
    <w:tmpl w:val="9A02BE1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685FF1"/>
    <w:multiLevelType w:val="multilevel"/>
    <w:tmpl w:val="E5B4D81A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502016A8"/>
    <w:multiLevelType w:val="multilevel"/>
    <w:tmpl w:val="052476C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19" w:hanging="14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</w:rPr>
    </w:lvl>
  </w:abstractNum>
  <w:abstractNum w:abstractNumId="6" w15:restartNumberingAfterBreak="0">
    <w:nsid w:val="77B53E96"/>
    <w:multiLevelType w:val="multilevel"/>
    <w:tmpl w:val="FA9CE4F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4B"/>
    <w:rsid w:val="00CE0B72"/>
    <w:rsid w:val="00D0214B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24B22-EA7D-4762-B49F-0FFFA57B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4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2024-05-09T06:51:00Z</dcterms:created>
  <dcterms:modified xsi:type="dcterms:W3CDTF">2024-05-09T06:51:00Z</dcterms:modified>
</cp:coreProperties>
</file>